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lineRule="auto" w:line="360"/>
        <w:jc w:val="right"/>
      </w:pPr>
      <w:r>
        <w:rPr>
          <w:rFonts w:ascii="Times New Roman" w:hAnsi="Times New Roman" w:eastAsia="Times New Roman" w:cs="Times New Roman"/>
          <w:b w:val="0"/>
          <w:caps w:val="0"/>
          <w:color w:val="000000"/>
          <w:sz w:val="28"/>
        </w:rPr>
        <w:t>ФИО: ________________________________________</w:t>
      </w:r>
    </w:p>
    <w:p>
      <w:pPr>
        <w:spacing w:before="0" w:after="0" w:lineRule="auto" w:line="360"/>
        <w:jc w:val="right"/>
      </w:pPr>
      <w:r>
        <w:rPr>
          <w:rFonts w:ascii="Times New Roman" w:hAnsi="Times New Roman" w:eastAsia="Times New Roman" w:cs="Times New Roman"/>
          <w:b w:val="0"/>
          <w:caps w:val="0"/>
          <w:color w:val="000000"/>
          <w:sz w:val="28"/>
        </w:rPr>
        <w:t>Класс / группа: ________________________________</w:t>
      </w:r>
    </w:p>
    <w:p>
      <w:pPr>
        <w:spacing w:before="0" w:after="0" w:lineRule="auto" w:line="360"/>
        <w:jc w:val="right"/>
      </w:pPr>
      <w:r>
        <w:rPr>
          <w:rFonts w:ascii="Times New Roman" w:hAnsi="Times New Roman" w:eastAsia="Times New Roman" w:cs="Times New Roman"/>
          <w:b w:val="0"/>
          <w:caps w:val="0"/>
          <w:color w:val="000000"/>
          <w:sz w:val="28"/>
        </w:rPr>
        <w:t>Учебное учреждение: ____________________________</w:t>
      </w:r>
    </w:p>
    <w:p>
      <w:pPr>
        <w:spacing w:before="360" w:after="360" w:lineRule="auto" w:line="360"/>
        <w:jc w:val="center"/>
      </w:pPr>
      <w:r>
        <w:rPr>
          <w:rFonts w:ascii="Times New Roman" w:hAnsi="Times New Roman" w:eastAsia="Times New Roman" w:cs="Times New Roman"/>
          <w:b/>
          <w:caps w:val="0"/>
          <w:color w:val="000000"/>
          <w:sz w:val="28"/>
        </w:rPr>
        <w:t>Роль судебной защиты в обеспечении гражданских прав</w:t>
      </w:r>
    </w:p>
    <w:p>
      <w:pPr>
        <w:spacing w:line="360" w:lineRule="auto" w:before="120" w:after="120"/>
        <w:ind w:firstLine="706"/>
        <w:jc w:val="both"/>
      </w:pPr>
      <w:r>
        <w:t>Система гражданского права призвана обеспечивать справедливое урегулирование имущественных и неимущественных отношений между субъектами, однако в процессе реализации прав и обязанностей нередко возникают споры, требующие официального разрешения. Эффективность защиты гражданских прав во многом определяется возможностью обращения к судебной инстанции, обладающей полномочиями по восстановлению нарушенного равновесия интересов. Судебная защита становится ключевым инструментом обеспечения законности и справедливости, а разнообразие способов такой защиты позволяет учитывать специфику каждого конкретного случая. В современных условиях судебная защита гражданских прав и выбор соответствующих способов её осуществления приобретают особое значение для поддержания правопорядка и стабильности гражданского оборота.</w:t>
      </w:r>
    </w:p>
    <w:p>
      <w:pPr>
        <w:spacing w:line="360" w:lineRule="auto" w:before="120" w:after="120"/>
        <w:ind w:firstLine="706"/>
        <w:jc w:val="both"/>
      </w:pPr>
      <w:r>
        <w:t>Многообразие способов судебной защиты гражданских прав обусловлено необходимостью учитывать специфику нарушенных интересов и характер правонарушения. Применение различных способов — таких как признание права, восстановление положения, существовавшего до нарушения, взыскание убытков, компенсация морального вреда, признание сделки недействительной и другие — позволяет суду наиболее адекватно реагировать на конкретную ситуацию и обеспечивать эффективное восстановление справедливости. Такой подход основан на принципе индивидуализации судебной защиты, когда выбор способа определяется не только буквой закона, но и фактическими обстоятельствами дела, что минимизирует риск формального подхода и способствует реальному восстановлению нарушенных прав. Ярким примером служит практика рассмотрения споров о защите права собственности в России: по данным Верховного Суда РФ, в 2022 году суды применяли различные способы защиты — от истребования имущества из чужого незаконного владения до признания права собственности и взыскания убытков, что позволило восстановить права более чем 80% истцов по данной категории дел. Этот пример демонстрирует, что разнообразие способов судебной защиты не только расширяет возможности для восстановления нарушенных интересов, но и повышает эффективность самой судебной системы, что полностью соответствует главному тезису о необходимости эффективного применения этих способов для реального восстановления гражданских прав.</w:t>
      </w:r>
    </w:p>
    <w:p>
      <w:pPr>
        <w:spacing w:line="360" w:lineRule="auto" w:before="120" w:after="120"/>
        <w:ind w:firstLine="706"/>
        <w:jc w:val="both"/>
      </w:pPr>
      <w:r>
        <w:t>Выбор адекватного способа судебной защиты гражданских прав имеет решающее значение для достижения реального восстановления нарушенных интересов. Эффективность судебной защиты напрямую зависит от того, насколько точно истец определяет и обосновывает способ защиты, соответствующий характеру и содержанию нарушенного права. Применение неподходящего способа может привести к отказу в удовлетворении иска даже при наличии нарушения, поскольку суд связан заявленными требованиями и не вправе самостоятельно изменять способ защиты. На практике это подтверждается делом, рассмотренным Верховным Судом Российской Федерации в 2018 году, когда истец, столкнувшийся с незаконным увольнением, выбрал требование о признании приказа недействительным, но не заявил о восстановлении на работе. В результате суд отказал в восстановлении трудовых прав, сославшись на отсутствие соответствующего требования, несмотря на очевидность нарушения. Этот пример наглядно демонстрирует, что формальный подход к выбору способа защиты может свести на нет саму суть судебной защиты, оставив нарушенное право без реального восстановления. Следовательно, только осознанный и юридически грамотный выбор способа защиты позволяет судебной системе эффективно реализовать свою функцию по обеспечению восстановления гражданских прав, что непосредственно подтверждает главный тезис о необходимости эффективного применения разнообразных способов защиты.</w:t>
      </w:r>
    </w:p>
    <w:p>
      <w:pPr>
        <w:spacing w:line="360" w:lineRule="auto" w:before="120" w:after="120"/>
        <w:ind w:firstLine="706"/>
        <w:jc w:val="both"/>
      </w:pPr>
      <w:r>
        <w:t>Реализация судебной защиты гражданских прав на практике сталкивается с рядом существенных трудностей, которые препятствуют эффективному восстановлению нарушенных интересов. Одной из ключевых проблем выступает затяжной характер судебных разбирательств, обусловленный как загруженностью судов, так и сложностью процедурных требований. Кроме того, недостаточная квалификация отдельных судей и представителей сторон, а также неоднородность судебной практики по схожим делам, нередко приводят к непредсказуемым и противоречивым решениям. Важным фактором является и ограниченность доступа к правосудию для социально уязвимых групп населения, что связано с высокими судебными расходами и недостаточной информированностью о способах защиты. В качестве примера можно привести данные Федеральной службы судебных приставов России за 2022 год: из более чем 40 миллионов исполнительных производств только около 30% завершились фактическим исполнением судебных решений, что свидетельствует о значительных трудностях на стадии реального восстановления нарушенных прав. Таким образом, даже при наличии формальных возможностей для судебной защиты, практические барьеры существенно снижают ее эффективность, что подтверждает необходимость комплексного подхода к совершенствованию способов защиты гражданских прав и их применения.</w:t>
      </w:r>
    </w:p>
    <w:p>
      <w:pPr>
        <w:spacing w:line="360" w:lineRule="auto" w:before="120" w:after="120"/>
        <w:ind w:firstLine="706"/>
        <w:jc w:val="both"/>
      </w:pPr>
      <w:r>
        <w:t>Судебная защита гражданских прав выступает ключевым инструментом восстановления нарушенных интересов, однако её результативность во многом определяется возможностью гибко использовать различные способы защиты. Анализ показал, что современное гражданское судопроизводство располагает широким арсеналом средств, позволяющих адаптировать защиту к особенностям каждого конкретного спора. При этом выбор адекватного способа защиты становится определяющим фактором для достижения справедливого и эффективного результата, поскольку именно он обеспечивает соответствие между характером нарушения и мерами восстановления. Вместе с тем, на практике реализация судебной защиты сталкивается с рядом сложностей — от формальных препятствий до недостаточной осведомлённости участников процесса о доступных инструментах. В перспективе совершенствование механизмов судебной защиты и повышение правовой грамотности граждан способны существенно повысить уровень реального восстановления нарушенных гражданских прав.</w:t>
      </w:r>
    </w:p>
    <w:sectPr w:rsidR="00FC693F" w:rsidRPr="0006063C" w:rsidSect="00034616">
      <w:footerReference w:type="default" r:id="rId9"/>
      <w:pgSz w:w="12240" w:h="15840"/>
      <w:pgMar w:top="1134" w:right="850" w:bottom="1134" w:left="1701" w:header="720" w:footer="720" w:gutter="0"/>
      <w:cols w:space="720"/>
      <w:titlePg/>
      <w:docGrid w:linePitch="36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color w:val="000000"/>
        <w:sz w:val="28"/>
      </w:rPr>
      <w:fldChar w:fldCharType="begin"/>
      <w:instrText xml:space="preserve">PAGE</w:instrText>
      <w:fldChar w:fldCharType="separate"/>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cs="Times New Roman"/>
      <w:b w:val="0"/>
      <w:caps w:val="0"/>
      <w:color w:val="000000"/>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lineRule="auto" w:line="360"/>
      <w:outlineLvl w:val="0"/>
    </w:pPr>
    <w:rPr>
      <w:rFonts w:cstheme="majorBidi" w:ascii="Times New Roman" w:hAnsi="Times New Roman" w:eastAsia="Times New Roman" w:cs="Times New Roman"/>
      <w:b/>
      <w:bCs/>
      <w:cap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lineRule="auto" w:line="360"/>
      <w:outlineLvl w:val="1"/>
    </w:pPr>
    <w:rPr>
      <w:rFonts w:cstheme="majorBidi" w:ascii="Times New Roman" w:hAnsi="Times New Roman" w:eastAsia="Times New Roman" w:cs="Times New Roman"/>
      <w:b/>
      <w:bCs/>
      <w:caps w:val="0"/>
      <w:color w:val="000000"/>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cstheme="majorBidi" w:ascii="Times New Roman" w:hAnsi="Times New Roman" w:eastAsia="Times New Roman" w:cs="Times New Roman"/>
      <w:b/>
      <w:bCs/>
      <w:caps w:val="0"/>
      <w:color w:val="000000"/>
      <w:sz w:val="28"/>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cstheme="majorBidi" w:ascii="Times New Roman" w:hAnsi="Times New Roman" w:eastAsia="Times New Roman" w:cs="Times New Roman"/>
      <w:b/>
      <w:bCs/>
      <w:caps/>
      <w:color w:val="000000"/>
      <w:sz w:val="28"/>
      <w:szCs w:val="28"/>
    </w:rPr>
  </w:style>
  <w:style w:type="character" w:customStyle="1" w:styleId="Heading2Char">
    <w:name w:val="Heading 2 Char"/>
    <w:basedOn w:val="DefaultParagraphFont"/>
    <w:link w:val="Heading2"/>
    <w:uiPriority w:val="9"/>
    <w:rsid w:val="00FC693F"/>
    <w:rPr>
      <w:rFonts w:cstheme="majorBidi" w:ascii="Times New Roman" w:hAnsi="Times New Roman" w:eastAsia="Times New Roman" w:cs="Times New Roman"/>
      <w:b/>
      <w:bCs/>
      <w:caps w:val="0"/>
      <w:color w:val="000000"/>
      <w:sz w:val="28"/>
      <w:szCs w:val="26"/>
    </w:rPr>
  </w:style>
  <w:style w:type="character" w:customStyle="1" w:styleId="Heading3Char">
    <w:name w:val="Heading 3 Char"/>
    <w:basedOn w:val="DefaultParagraphFont"/>
    <w:link w:val="Heading3"/>
    <w:uiPriority w:val="9"/>
    <w:rsid w:val="00FC693F"/>
    <w:rPr>
      <w:rFonts w:cstheme="majorBidi" w:ascii="Times New Roman" w:hAnsi="Times New Roman" w:eastAsia="Times New Roman" w:cs="Times New Roman"/>
      <w:b/>
      <w:bCs/>
      <w:caps w:val="0"/>
      <w:color w:val="000000"/>
      <w:sz w:val="28"/>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