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before="0" w:after="0" w:lineRule="auto" w:line="360"/>
        <w:jc w:val="right"/>
      </w:pPr>
      <w:r>
        <w:rPr>
          <w:rFonts w:ascii="Times New Roman" w:hAnsi="Times New Roman" w:eastAsia="Times New Roman" w:cs="Times New Roman"/>
          <w:b w:val="0"/>
          <w:caps w:val="0"/>
          <w:color w:val="000000"/>
          <w:sz w:val="28"/>
        </w:rPr>
        <w:t>ФИО: ________________________________________</w:t>
      </w:r>
    </w:p>
    <w:p>
      <w:pPr>
        <w:spacing w:before="0" w:after="0" w:lineRule="auto" w:line="360"/>
        <w:jc w:val="right"/>
      </w:pPr>
      <w:r>
        <w:rPr>
          <w:rFonts w:ascii="Times New Roman" w:hAnsi="Times New Roman" w:eastAsia="Times New Roman" w:cs="Times New Roman"/>
          <w:b w:val="0"/>
          <w:caps w:val="0"/>
          <w:color w:val="000000"/>
          <w:sz w:val="28"/>
        </w:rPr>
        <w:t>Класс / группа: ________________________________</w:t>
      </w:r>
    </w:p>
    <w:p>
      <w:pPr>
        <w:spacing w:before="0" w:after="0" w:lineRule="auto" w:line="360"/>
        <w:jc w:val="right"/>
      </w:pPr>
      <w:r>
        <w:rPr>
          <w:rFonts w:ascii="Times New Roman" w:hAnsi="Times New Roman" w:eastAsia="Times New Roman" w:cs="Times New Roman"/>
          <w:b w:val="0"/>
          <w:caps w:val="0"/>
          <w:color w:val="000000"/>
          <w:sz w:val="28"/>
        </w:rPr>
        <w:t>Учебное учреждение: ____________________________</w:t>
      </w:r>
    </w:p>
    <w:p>
      <w:pPr>
        <w:spacing w:before="360" w:after="360" w:lineRule="auto" w:line="360"/>
        <w:jc w:val="center"/>
      </w:pPr>
      <w:r>
        <w:rPr>
          <w:rFonts w:ascii="Times New Roman" w:hAnsi="Times New Roman" w:eastAsia="Times New Roman" w:cs="Times New Roman"/>
          <w:b/>
          <w:caps w:val="0"/>
          <w:color w:val="000000"/>
          <w:sz w:val="28"/>
        </w:rPr>
        <w:t>Международно-правовые механизмы расследования преступлений против мира и безопасности</w:t>
      </w:r>
    </w:p>
    <w:p>
      <w:pPr>
        <w:spacing w:line="360" w:lineRule="auto" w:before="120" w:after="120"/>
        <w:ind w:firstLine="706"/>
        <w:jc w:val="both"/>
      </w:pPr>
      <w:r>
        <w:t>Современная система международных отношений характеризуется постоянным взаимодействием государств, что обуславливает необходимость эффективных механизмов защиты мира и безопасности человечества. Преступления против мира и безопасности, такие как агрессия, геноцид, военные преступления и преступления против человечности, представляют угрозу не только отдельным государствам, но и всему международному сообществу. В связи с этим особое значение приобретает формирование международно-правовой базы, регулирующей расследование и преследование подобных деяний. Международное право выработало комплекс норм и институтов, направленных на обеспечение неотвратимости ответственности за тяжкие преступления, подрывающие основы глобальной безопасности. Тезис данного эссе заключается в том, что международно-правовая основа расследования уголовных дел против мира и безопасности человечества обеспечивает универсальные стандарты правосудия и способствует укреплению международной законности.</w:t>
      </w:r>
    </w:p>
    <w:p>
      <w:pPr>
        <w:spacing w:line="360" w:lineRule="auto" w:before="120" w:after="120"/>
        <w:ind w:firstLine="706"/>
        <w:jc w:val="both"/>
      </w:pPr>
      <w:r>
        <w:t>Международные договоры и конвенции играют ключевую роль в формировании правовой базы для расследования уголовных дел против мира и безопасности человечества. Именно они закрепляют универсальные стандарты ответственности, определяют составы преступлений и процедуры сотрудничества между государствами, что позволяет преодолевать национальные ограничения и обеспечивать согласованность действий в борьбе с особо опасными преступлениями. Благодаря таким документам, как Устав Международного уголовного суда 1998 года (Римский статут), Женевские конвенции 1949 года и Конвенция о предотвращении преступления геноцида 1948 года, мировое сообщество получило не только четкие юридические определения геноцида, военных преступлений и преступлений против человечности, но и механизмы экстрадиции, взаимной правовой помощи и передачи обвиняемых международным судам. Ярким примером эффективности международно-правовых инструментов стало создание Международного трибунала по бывшей Югославии (МТБЮ) в 1993 году, деятельность которого базировалась на резолюциях Совета Безопасности ООН и положениях Женевских конвенций. Трибунал обеспечил привлечение к ответственности высокопоставленных лиц, причастных к массовым убийствам и этническим чисткам, несмотря на отсутствие их экстрадиции отдельными государствами. Этот опыт наглядно демонстрирует, что международные договоры и конвенции способны не только формировать единые стандарты расследования, но и создавать реальные механизмы для эффективного преследования виновных в преступлениях против мира и безопасности человечества, даже в условиях сложного межгосударственного взаимодействия.</w:t>
      </w:r>
    </w:p>
    <w:p>
      <w:pPr>
        <w:spacing w:line="360" w:lineRule="auto" w:before="120" w:after="120"/>
        <w:ind w:firstLine="706"/>
        <w:jc w:val="both"/>
      </w:pPr>
      <w:r>
        <w:t>Проблемы юрисдикции и международного сотрудничества остаются одними из ключевых препятствий для эффективного расследования уголовных дел против мира и безопасности человечества. Несмотря на существование международных договоров и соглашений, таких как Римский статут Международного уголовного суда, государства зачастую сталкиваются с трудностями при определении, какой суд или орган обладает правом рассматривать конкретное дело, а также при обеспечении выдачи подозреваемых и обмена доказательствами. Эти сложности обусловлены как различиями в национальных правовых системах, так и политическими интересами отдельных стран, которые могут препятствовать экстрадиции или отказываться от сотрудничества с международными органами правосудия. Ярким примером служит ситуация с расследованием преступлений, совершённых в ходе вооружённого конфликта в бывшей Югославии: создание Международного трибунала по бывшей Югославии (МТБЮ) сопровождалось длительными переговорами и необходимостью преодоления сопротивления некоторых государств, не желавших выдавать подозреваемых или предоставлять доступ к доказательствам. Только благодаря настойчивому международному давлению и координации усилий удалось добиться привлечения к ответственности ряда высокопоставленных лиц, включая бывшего президента Сербии Слободана Милошевича. Этот пример наглядно демонстрирует, что, несмотря на объективные трудности, международно-правовая основа и механизмы сотрудничества способны обеспечить эффективное расследование и наказание виновных, если государства проявляют политическую волю и следуют принятым международным обязательствам. Таким образом, преодоление проблем юрисдикции и сотрудничества является неотъемлемой частью успешного функционирования международного уголовного правосудия и подтверждает значимость международно-правовой базы для защиты мира и безопасности человечества.</w:t>
      </w:r>
    </w:p>
    <w:p>
      <w:pPr>
        <w:spacing w:line="360" w:lineRule="auto" w:before="120" w:after="120"/>
        <w:ind w:firstLine="706"/>
        <w:jc w:val="both"/>
      </w:pPr>
      <w:r>
        <w:t>Значимую роль в формировании и реализации международно-правовой основы расследования уголовных дел против мира и безопасности человечества играют международные суды и созданные ими прецеденты. Именно эти институты обеспечивают универсальные стандарты ответственности и процедур, которые позволяют преодолеть национальные ограничения и политические барьеры, возникающие при расследовании тяжких преступлений, затрагивающих интересы всего человечества. Международные суды, такие как Международный уголовный суд (МУС) и ранее действовавшие трибуналы по бывшей Югославии и Руанде, не только формируют практику привлечения к ответственности за геноцид, военные преступления и преступления против человечности, но и закрепляют правовые механизмы, обязательные для государств — участников соответствующих договоров. Ярким примером служит деятельность Международного трибунала по бывшей Югославии (МТБЮ), который впервые после Нюрнбергского процесса обеспечил судебное преследование высокопоставленных лиц, включая бывшего президента Сербии Слободана Милошевича, за преступления против мира и безопасности. Прецеденты, созданные МТБЮ, легли в основу современного международного уголовного права и были интегрированы в практику МУС, что позволило унифицировать подходы к квалификации преступлений и процедурам расследования. Таким образом, международные суды и их решения не только способствуют эффективному расследованию преступлений против мира и безопасности человечества, но и укрепляют международно-правовую основу, позволяя государствам действовать согласованно даже в условиях сложных политических разногласий.</w:t>
      </w:r>
    </w:p>
    <w:p>
      <w:pPr>
        <w:spacing w:line="360" w:lineRule="auto" w:before="120" w:after="120"/>
        <w:ind w:firstLine="706"/>
        <w:jc w:val="both"/>
      </w:pPr>
      <w:r>
        <w:t>Эффективность расследования уголовных дел против мира и безопасности человечества во многом определяется разветвлённой международно-правовой системой, которая формирует единые стандарты и механизмы ответственности. Международные договоры и конвенции служат фундаментом для выработки согласованных подходов к квалификации преступлений и процедурам их расследования. Вместе с тем, вопросы юрисдикции и межгосударственного сотрудничества остаются ключевыми вызовами, требующими постоянного совершенствования правовых инструментов и механизмов взаимодействия. Особое значение приобретают деятельность международных судов и формирование прецедентов, способствующих унификации практики и укреплению доверия к международному правосудию. Современная международно-правовая основа не только позволяет привлекать к ответственности виновных, но и задаёт вектор дальнейшего развития системы защиты мира и безопасности человечества.</w:t>
      </w:r>
    </w:p>
    <w:sectPr w:rsidR="00FC693F" w:rsidRPr="0006063C" w:rsidSect="00034616">
      <w:footerReference w:type="default" r:id="rId9"/>
      <w:pgSz w:w="12240" w:h="15840"/>
      <w:pgMar w:top="1134" w:right="850" w:bottom="1134" w:left="1701" w:header="720" w:footer="720" w:gutter="0"/>
      <w:cols w:space="720"/>
      <w:titlePg/>
      <w:docGrid w:linePitch="360"/>
      <w:pgNumType w:start="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rFonts w:ascii="Times New Roman" w:hAnsi="Times New Roman"/>
        <w:color w:val="000000"/>
        <w:sz w:val="28"/>
      </w:rPr>
      <w:fldChar w:fldCharType="begin"/>
      <w:instrText xml:space="preserve">PAGE</w:instrText>
      <w:fldChar w:fldCharType="separate"/>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Times New Roman" w:hAnsi="Times New Roman" w:eastAsia="Times New Roman" w:cs="Times New Roman"/>
      <w:b w:val="0"/>
      <w:caps w:val="0"/>
      <w:color w:val="000000"/>
      <w:sz w:val="28"/>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lineRule="auto" w:line="360"/>
      <w:outlineLvl w:val="0"/>
    </w:pPr>
    <w:rPr>
      <w:rFonts w:cstheme="majorBidi" w:ascii="Times New Roman" w:hAnsi="Times New Roman" w:eastAsia="Times New Roman" w:cs="Times New Roman"/>
      <w:b/>
      <w:bCs/>
      <w:caps/>
      <w:color w:val="000000"/>
      <w:sz w:val="28"/>
      <w:szCs w:val="28"/>
    </w:rPr>
  </w:style>
  <w:style w:type="paragraph" w:styleId="Heading2">
    <w:name w:val="heading 2"/>
    <w:basedOn w:val="Normal"/>
    <w:next w:val="Normal"/>
    <w:link w:val="Heading2Char"/>
    <w:uiPriority w:val="9"/>
    <w:unhideWhenUsed/>
    <w:qFormat/>
    <w:rsid w:val="00FC693F"/>
    <w:pPr>
      <w:keepNext/>
      <w:keepLines/>
      <w:spacing w:before="200" w:after="0" w:lineRule="auto" w:line="360"/>
      <w:outlineLvl w:val="1"/>
    </w:pPr>
    <w:rPr>
      <w:rFonts w:cstheme="majorBidi" w:ascii="Times New Roman" w:hAnsi="Times New Roman" w:eastAsia="Times New Roman" w:cs="Times New Roman"/>
      <w:b/>
      <w:bCs/>
      <w:caps w:val="0"/>
      <w:color w:val="000000"/>
      <w:sz w:val="28"/>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cstheme="majorBidi" w:ascii="Times New Roman" w:hAnsi="Times New Roman" w:eastAsia="Times New Roman" w:cs="Times New Roman"/>
      <w:b/>
      <w:bCs/>
      <w:caps w:val="0"/>
      <w:color w:val="000000"/>
      <w:sz w:val="28"/>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cstheme="majorBidi" w:ascii="Times New Roman" w:hAnsi="Times New Roman" w:eastAsia="Times New Roman" w:cs="Times New Roman"/>
      <w:b/>
      <w:bCs/>
      <w:caps/>
      <w:color w:val="000000"/>
      <w:sz w:val="28"/>
      <w:szCs w:val="28"/>
    </w:rPr>
  </w:style>
  <w:style w:type="character" w:customStyle="1" w:styleId="Heading2Char">
    <w:name w:val="Heading 2 Char"/>
    <w:basedOn w:val="DefaultParagraphFont"/>
    <w:link w:val="Heading2"/>
    <w:uiPriority w:val="9"/>
    <w:rsid w:val="00FC693F"/>
    <w:rPr>
      <w:rFonts w:cstheme="majorBidi" w:ascii="Times New Roman" w:hAnsi="Times New Roman" w:eastAsia="Times New Roman" w:cs="Times New Roman"/>
      <w:b/>
      <w:bCs/>
      <w:caps w:val="0"/>
      <w:color w:val="000000"/>
      <w:sz w:val="28"/>
      <w:szCs w:val="26"/>
    </w:rPr>
  </w:style>
  <w:style w:type="character" w:customStyle="1" w:styleId="Heading3Char">
    <w:name w:val="Heading 3 Char"/>
    <w:basedOn w:val="DefaultParagraphFont"/>
    <w:link w:val="Heading3"/>
    <w:uiPriority w:val="9"/>
    <w:rsid w:val="00FC693F"/>
    <w:rPr>
      <w:rFonts w:cstheme="majorBidi" w:ascii="Times New Roman" w:hAnsi="Times New Roman" w:eastAsia="Times New Roman" w:cs="Times New Roman"/>
      <w:b/>
      <w:bCs/>
      <w:caps w:val="0"/>
      <w:color w:val="000000"/>
      <w:sz w:val="28"/>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