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ФИО: ________________________________________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Класс / группа: ________________________________</w:t>
      </w:r>
    </w:p>
    <w:p>
      <w:pPr>
        <w:spacing w:before="0" w:after="0" w:lineRule="auto" w:line="360"/>
        <w:jc w:val="right"/>
      </w:pPr>
      <w:r>
        <w:rPr>
          <w:rFonts w:ascii="Times New Roman" w:hAnsi="Times New Roman" w:eastAsia="Times New Roman" w:cs="Times New Roman"/>
          <w:b w:val="0"/>
          <w:caps w:val="0"/>
          <w:color w:val="000000"/>
          <w:sz w:val="28"/>
        </w:rPr>
        <w:t>Учебное учреждение: ____________________________</w:t>
      </w:r>
    </w:p>
    <w:p>
      <w:pPr>
        <w:spacing w:before="360" w:after="360" w:lineRule="auto" w:line="360"/>
        <w:jc w:val="center"/>
      </w:pPr>
      <w:r>
        <w:rPr>
          <w:rFonts w:ascii="Times New Roman" w:hAnsi="Times New Roman" w:eastAsia="Times New Roman" w:cs="Times New Roman"/>
          <w:b/>
          <w:caps w:val="0"/>
          <w:color w:val="000000"/>
          <w:sz w:val="28"/>
        </w:rPr>
        <w:t>Роль наградного отдела в укреплении института офицерства СССР</w:t>
      </w:r>
    </w:p>
    <w:p>
      <w:pPr>
        <w:spacing w:line="360" w:lineRule="auto" w:before="120" w:after="120"/>
        <w:ind w:firstLine="706"/>
        <w:jc w:val="both"/>
      </w:pPr>
      <w:r>
        <w:t>В условиях сложной трансформации общественных институтов и переосмысления исторического наследия особое значение приобретает сохранение памяти о воинской доблести и заслугах офицерского корпуса. Союз советских офицеров, как организация, объединяющая ветеранов и действующих военных, сталкивается с необходимостью не только поддерживать корпоративную солидарность, но и формировать позитивный образ военной службы в общественном сознании. В этом контексте создание наградного отдела при Союзе советских офицеров представляется важным инструментом институционализации признания заслуг, укрепления моральных ориентиров и поддержания преемственности традиций. Такой шаг способен повысить престиж офицерского звания и способствовать консолидации профессионального сообщества.</w:t>
      </w:r>
    </w:p>
    <w:p>
      <w:pPr>
        <w:spacing w:line="360" w:lineRule="auto" w:before="120" w:after="120"/>
        <w:ind w:firstLine="706"/>
        <w:jc w:val="both"/>
      </w:pPr>
      <w:r>
        <w:t>Систематизация наград в рамках деятельности Союза советских офицеров способна стать мощным инструментом для укрепления мотивации среди военнослужащих. Четко выстроенная иерархия поощрений и прозрачные критерии их присуждения создают у офицеров ощущение справедливости и предсказуемости карьерного роста, а также формируют устойчивое стремление к профессиональному и личностному развитию. Когда система наград становится не просто формальной процедурой, а осознанной частью воинской культуры, она способствует формированию здоровой конкуренции, укрепляет корпоративную солидарность и поддерживает высокий уровень дисциплины. Подобный эффект был ярко продемонстрирован в истории Советской Армии в годы Великой Отечественной войны, когда введение четкой системы государственных наград — орденов и медалей — способствовало не только моральному подъему личного состава, но и росту боеспособности подразделений. По данным архивных исследований, в период с 1941 по 1945 год количество представлений к наградам увеличилось в несколько раз, что сопровождалось заметным снижением числа дисциплинарных нарушений и дезертирства. Этот исторический опыт убеждает в том, что систематизация наград действительно способна стать действенным стимулом для военных, а создание специализированного наградного отдела при Союзе советских офицеров позволит не только повысить престиж службы, но и обеспечить устойчивую мотивацию личного состава.</w:t>
      </w:r>
    </w:p>
    <w:p>
      <w:pPr>
        <w:spacing w:line="360" w:lineRule="auto" w:before="120" w:after="120"/>
        <w:ind w:firstLine="706"/>
        <w:jc w:val="both"/>
      </w:pPr>
      <w:r>
        <w:t>Введение прозрачных процедур в деятельность наградного отдела при Союзе советских офицеров способно существенно снизить коррупционные риски, связанные с присуждением наград и поощрений. Четко регламентированные критерии отбора кандидатов, открытость рассмотрения заявок и обязательная публикация решений формируют доверие к институту награждения, минимизируя вероятность субъективного или корыстного подхода со стороны должностных лиц. Прозрачность процедур позволяет сделать процесс награждения предсказуемым и справедливым, что особенно важно в условиях, когда награды напрямую влияют на престиж и мотивацию военнослужащих. Ярким примером служит опыт реформирования системы государственных наград в Российской Федерации в начале 2000-х годов: введение единого реестра награжденных и публикация указов о награждении в открытых источниках значительно сократили количество жалоб на необоснованное присуждение званий и повысили общественное доверие к наградной системе. Такой подход не только укрепляет легитимность наград, но и способствует формированию здоровой конкуренции среди офицеров, ориентированной на реальные заслуги. Следовательно, прозрачность процедур в работе наградного отдела становится важнейшим инструментом повышения мотивации и престижа службы, что напрямую поддерживает основной тезис о необходимости его создания.</w:t>
      </w:r>
    </w:p>
    <w:p>
      <w:pPr>
        <w:spacing w:line="360" w:lineRule="auto" w:before="120" w:after="120"/>
        <w:ind w:firstLine="706"/>
        <w:jc w:val="both"/>
      </w:pPr>
      <w:r>
        <w:t>Наградная политика играет ключевую роль в формировании корпоративной идентичности среди членов профессионального сообщества, особенно в военной среде. Система поощрений способствует не только признанию индивидуальных заслуг, но и укрепляет чувство принадлежности к единой организации, задаёт стандарты поведения и формирует внутренние ценности коллектива. Когда награды становятся неотъемлемой частью внутренней культуры, они превращаются в символы, объединяющие людей вокруг общих целей и традиций, а также способствуют воспроизводству профессиональных норм. Ярким примером подобного влияния служит практика награждения в Красной армии в годы Великой Отечественной войны: введение орденов и медалей, таких как Орден Славы или медаль «За отвагу», не только отмечало выдающиеся поступки, но и формировало у бойцов ощущение сопричастности к великой миссии, поддерживало моральный дух и укрепляло горизонтальные связи между военнослужащими. Аналогичные механизмы наблюдаются в современных армиях, где система наград способствует формированию устойчивой профессиональной идентичности и лояльности. Таким образом, создание наградного отдела при Союзе советских офицеров может стать эффективным инструментом не только для повышения мотивации, но и для консолидации сообщества на основе общих ценностей и традиций, что напрямую связано с ростом престижа военной службы.</w:t>
      </w:r>
    </w:p>
    <w:p>
      <w:pPr>
        <w:spacing w:line="360" w:lineRule="auto" w:before="120" w:after="120"/>
        <w:ind w:firstLine="706"/>
        <w:jc w:val="both"/>
      </w:pPr>
      <w:r>
        <w:t>Введение наградного отдела при Союзе советских офицеров открывает новые возможности для укрепления профессионального духа и повышения статуса военной службы. Систематизация наград способствует формированию устойчивой мотивации среди офицеров, позволяя каждому видеть прямую связь между личными достижениями и признанием заслуг. Прозрачные процедуры отбора кандидатов и вручения наград минимизируют вероятность коррупционных проявлений, что усиливает доверие к институту награждения и поддерживает справедливость внутри организации. Последовательная наградная политика становится инструментом формирования корпоративной идентичности, объединяя офицерский корпус вокруг общих ценностей и стандартов поведения. Создание такого отдела способно не только повысить престиж службы, но и заложить прочную основу для дальнейшего развития профессионального сообщества офицеров, ориентированного на честность, заслуги и коллективную солидарность.</w:t>
      </w:r>
    </w:p>
    <w:sectPr w:rsidR="00FC693F" w:rsidRPr="0006063C" w:rsidSect="00034616">
      <w:footerReference w:type="default" r:id="rId9"/>
      <w:pgSz w:w="12240" w:h="15840"/>
      <w:pgMar w:top="1134" w:right="850" w:bottom="1134" w:left="1701" w:header="720" w:footer="720" w:gutter="0"/>
      <w:cols w:space="720"/>
      <w:titlePg/>
      <w:docGrid w:linePitch="360"/>
      <w:pgNumType w:start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Times New Roman" w:hAnsi="Times New Roman"/>
        <w:color w:val="000000"/>
        <w:sz w:val="28"/>
      </w:rPr>
      <w:fldChar w:fldCharType="begin"/>
      <w:instrText xml:space="preserve">PAGE</w:instrText>
      <w:fldChar w:fldCharType="separate"/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 w:cs="Times New Roman"/>
      <w:b w:val="0"/>
      <w:caps w:val="0"/>
      <w:color w:val="000000"/>
      <w:sz w:val="2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 w:lineRule="auto" w:line="360"/>
      <w:outlineLvl w:val="0"/>
    </w:pPr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 w:lineRule="auto" w:line="360"/>
      <w:outlineLvl w:val="1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cstheme="majorBidi" w:ascii="Times New Roman" w:hAnsi="Times New Roman" w:eastAsia="Times New Roman" w:cs="Times New Roman"/>
      <w:b/>
      <w:bCs/>
      <w:caps/>
      <w:color w:val="000000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cstheme="majorBidi" w:ascii="Times New Roman" w:hAnsi="Times New Roman" w:eastAsia="Times New Roman" w:cs="Times New Roman"/>
      <w:b/>
      <w:bCs/>
      <w:caps w:val="0"/>
      <w:color w:val="000000"/>
      <w:sz w:val="28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