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0" w:lineRule="auto" w:line="360"/>
        <w:jc w:val="right"/>
      </w:pPr>
      <w:r>
        <w:rPr>
          <w:rFonts w:ascii="Times New Roman" w:hAnsi="Times New Roman" w:eastAsia="Times New Roman" w:cs="Times New Roman"/>
          <w:b w:val="0"/>
          <w:caps w:val="0"/>
          <w:color w:val="000000"/>
          <w:sz w:val="28"/>
        </w:rPr>
        <w:t>ФИО: ________________________________________</w:t>
      </w:r>
    </w:p>
    <w:p>
      <w:pPr>
        <w:spacing w:before="0" w:after="0" w:lineRule="auto" w:line="360"/>
        <w:jc w:val="right"/>
      </w:pPr>
      <w:r>
        <w:rPr>
          <w:rFonts w:ascii="Times New Roman" w:hAnsi="Times New Roman" w:eastAsia="Times New Roman" w:cs="Times New Roman"/>
          <w:b w:val="0"/>
          <w:caps w:val="0"/>
          <w:color w:val="000000"/>
          <w:sz w:val="28"/>
        </w:rPr>
        <w:t>Класс / группа: ________________________________</w:t>
      </w:r>
    </w:p>
    <w:p>
      <w:pPr>
        <w:spacing w:before="0" w:after="0" w:lineRule="auto" w:line="360"/>
        <w:jc w:val="right"/>
      </w:pPr>
      <w:r>
        <w:rPr>
          <w:rFonts w:ascii="Times New Roman" w:hAnsi="Times New Roman" w:eastAsia="Times New Roman" w:cs="Times New Roman"/>
          <w:b w:val="0"/>
          <w:caps w:val="0"/>
          <w:color w:val="000000"/>
          <w:sz w:val="28"/>
        </w:rPr>
        <w:t>Учебное учреждение: ____________________________</w:t>
      </w:r>
    </w:p>
    <w:p>
      <w:pPr>
        <w:spacing w:before="360" w:after="360" w:lineRule="auto" w:line="360"/>
        <w:jc w:val="center"/>
      </w:pPr>
      <w:r>
        <w:rPr>
          <w:rFonts w:ascii="Times New Roman" w:hAnsi="Times New Roman" w:eastAsia="Times New Roman" w:cs="Times New Roman"/>
          <w:b/>
          <w:caps w:val="0"/>
          <w:color w:val="000000"/>
          <w:sz w:val="28"/>
        </w:rPr>
        <w:t>Малые Нюрнбергские процессы и их роль в формировании международного правосудия</w:t>
      </w:r>
    </w:p>
    <w:p>
      <w:pPr>
        <w:spacing w:line="360" w:lineRule="auto" w:before="120" w:after="120"/>
        <w:ind w:firstLine="706"/>
        <w:jc w:val="both"/>
      </w:pPr>
      <w:r>
        <w:t>Завершение Второй мировой войны ознаменовалось не только военными и политическими изменениями, но и необходимостью юридической оценки преступлений, совершённых нацистским режимом. Крупный Нюрнбергский процесс 1945–1946 годов стал символом международного правосудия, впервые установив ответственность высших руководителей Третьего рейха за преступления против человечности. Однако за пределами этого основного процесса последовала серия менее известных, но не менее значимых судебных разбирательств — так называемые малые Нюрнбергские процессы, в ходе которых перед судом предстали представители различных профессиональных и военных кругов Германии. Анализ этих процессов позволяет не только глубже понять масштабы и специфику нацистских преступлений, но и подвести итоговую оценку роли Нюрнбергского трибунала в формировании современной системы международного права.</w:t>
      </w:r>
    </w:p>
    <w:p>
      <w:pPr>
        <w:spacing w:line="360" w:lineRule="auto" w:before="120" w:after="120"/>
        <w:ind w:firstLine="706"/>
        <w:jc w:val="both"/>
      </w:pPr>
      <w:r>
        <w:t>После завершения основного Нюрнбергского процесса круг лиц, подлежащих уголовной ответственности за нацистские преступления, был значительно расширен благодаря проведению малых Нюрнбергских процессов. Если первый процесс сосредоточился на высшем руководстве Третьего рейха, то последующие судебные заседания, организованные американскими военными трибуналами в 1946–1949 годах, охватили более широкий спектр обвиняемых, включая военных, чиновников, промышленников, врачей и юристов. Такой подход был обусловлен необходимостью продемонстрировать, что ответственность за преступления против человечности не ограничивается только политической и военной элитой, но распространяется и на представителей различных профессиональных групп, чьи действия или бездействие способствовали функционированию преступного режима. Например, в рамках дела врачей (Doctors' Trial) были осуждены медики, проводившие бесчеловечные эксперименты над заключёнными концлагерей, а процесс над промышленниками IG Farben выявил роль бизнеса в поддержке нацистской военной машины и использовании принудительного труда. Эти процессы не только конкретизировали принципы индивидуальной ответственности, но и закрепили идею, что участие в преступлениях против мира и человечности возможно на разных уровнях и в разных сферах общества. Таким образом, малые Нюрнбергские процессы стали важным шагом в развитии международного уголовного права, расширив рамки ответственности и подчеркнув, что соучастие в преступлениях не может быть оправдано профессиональной принадлежностью или подчинением приказам.</w:t>
      </w:r>
    </w:p>
    <w:p>
      <w:pPr>
        <w:spacing w:line="360" w:lineRule="auto" w:before="120" w:after="120"/>
        <w:ind w:firstLine="706"/>
        <w:jc w:val="both"/>
      </w:pPr>
      <w:r>
        <w:t>Малые Нюрнбергские процессы внесли значительный вклад в развитие международного права, расширив рамки ответственности за военные преступления и закрепив принцип индивидуального наказания вне зависимости от ранга и статуса обвиняемого. В отличие от основного Нюрнбергского процесса, где судили высшее руководство Третьего рейха, малые процессы были направлены на более широкий круг лиц — от врачей и юристов до промышленников и военных командиров. Это позволило не только конкретизировать составы преступлений против человечности, но и продемонстрировать, что участие в преступных действиях не может быть оправдано исполнением приказа или служебным положением. Одним из наиболее показательных примеров стал процесс над врачами (Doctors' Trial), в ходе которого были осуждены медики, проводившие эксперименты над заключёнными концлагерей. Суд признал медицинские эксперименты без согласия жертв преступлением против человечности, а принципы, сформулированные в приговоре, легли в основу Нюрнбергского кодекса — первого международного документа по биоэтике. Таким образом, малые Нюрнбергские процессы не только расширили практику привлечения к ответственности за военные преступления, но и стали фундаментом для последующего формирования международных стандартов правосудия, что полностью соответствует их роли в развитии международного уголовного права.</w:t>
      </w:r>
    </w:p>
    <w:p>
      <w:pPr>
        <w:spacing w:line="360" w:lineRule="auto" w:before="120" w:after="120"/>
        <w:ind w:firstLine="706"/>
        <w:jc w:val="both"/>
      </w:pPr>
      <w:r>
        <w:t>Итоги как основного, так и малых Нюрнбергских процессов оказали фундаментальное влияние на развитие международного уголовного права, закрепив принцип индивидуальной ответственности за военные преступления и преступления против человечности. Эти процессы не только осудили конкретных лиц, причастных к нацистским преступлениям, но и создали прецедент, согласно которому государственный статус или исполнение приказа не освобождают от ответственности за тяжкие нарушения международного права. Важность этого подхода проявилась в том, что суды впервые квалифицировали действия не только высших руководителей, но и представителей различных профессиональных групп — врачей, юристов, промышленников, военных командиров — как преступные, если они способствовали осуществлению политики геноцида, агрессии или эксплуатации. Примером служит процесс над врачами (Doctors' Trial, 1946–1947), где были осуждены медики, проводившие эксперименты над заключёнными концлагерей: этот суд не только признал медицинские эксперименты преступлением, но и стал основой для формирования Нюрнбергского кодекса, определяющего этические стандарты медицинских исследований на десятилетия вперёд. Таким образом, малые Нюрнбергские процессы не только обеспечили справедливое наказание виновных, но и заложили основы современной системы международного правосудия, где индивидуальная ответственность за тяжкие преступления стала неотъемлемой частью глобального правопорядка.</w:t>
      </w:r>
    </w:p>
    <w:p>
      <w:pPr>
        <w:spacing w:line="360" w:lineRule="auto" w:before="120" w:after="120"/>
        <w:ind w:firstLine="706"/>
        <w:jc w:val="both"/>
      </w:pPr>
      <w:r>
        <w:t>Малые Нюрнбергские процессы стали важнейшим этапом в эволюции международного уголовного правосудия, продемонстрировав, что ответственность за военные преступления не ограничивается высшим руководством, а распространяется на широкий круг лиц, причастных к преступлениям нацистского режима. Эти процессы не только расширили юридические рамки индивидуальной ответственности, но и способствовали формированию новых стандартов международного права, закрепив принципы справедливого суда и недопустимости безнаказанности за тяжкие нарушения. Итоги как основного, так и малых Нюрнбергских процессов заложили фундамент для последующих международных трибуналов и современных механизмов преследования военных преступников, подчеркнув универсальность и актуальность идеи неотвратимости наказания. Значение этого опыта сохраняет свою актуальность и сегодня, служа ориентиром для мирового сообщества в борьбе с преступлениями против человечности.</w:t>
      </w:r>
    </w:p>
    <w:sectPr w:rsidR="00FC693F" w:rsidRPr="0006063C" w:rsidSect="00034616">
      <w:footerReference w:type="default" r:id="rId9"/>
      <w:pgSz w:w="12240" w:h="15840"/>
      <w:pgMar w:top="1134" w:right="850" w:bottom="1134" w:left="1701" w:header="720" w:footer="720" w:gutter="0"/>
      <w:cols w:space="720"/>
      <w:titlePg/>
      <w:docGrid w:linePitch="360"/>
      <w:pgNumType w:start="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color w:val="000000"/>
        <w:sz w:val="28"/>
      </w:rPr>
      <w:fldChar w:fldCharType="begin"/>
      <w:instrText xml:space="preserve">PAGE</w:instrText>
      <w:fldChar w:fldCharType="separate"/>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eastAsia="Times New Roman" w:cs="Times New Roman"/>
      <w:b w:val="0"/>
      <w:caps w:val="0"/>
      <w:color w:val="000000"/>
      <w:sz w:val="2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lineRule="auto" w:line="360"/>
      <w:outlineLvl w:val="0"/>
    </w:pPr>
    <w:rPr>
      <w:rFonts w:cstheme="majorBidi" w:ascii="Times New Roman" w:hAnsi="Times New Roman" w:eastAsia="Times New Roman" w:cs="Times New Roman"/>
      <w:b/>
      <w:bCs/>
      <w:cap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lineRule="auto" w:line="360"/>
      <w:outlineLvl w:val="1"/>
    </w:pPr>
    <w:rPr>
      <w:rFonts w:cstheme="majorBidi" w:ascii="Times New Roman" w:hAnsi="Times New Roman" w:eastAsia="Times New Roman" w:cs="Times New Roman"/>
      <w:b/>
      <w:bCs/>
      <w:caps w:val="0"/>
      <w:color w:val="000000"/>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cstheme="majorBidi" w:ascii="Times New Roman" w:hAnsi="Times New Roman" w:eastAsia="Times New Roman" w:cs="Times New Roman"/>
      <w:b/>
      <w:bCs/>
      <w:caps w:val="0"/>
      <w:color w:val="000000"/>
      <w:sz w:val="28"/>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cstheme="majorBidi" w:ascii="Times New Roman" w:hAnsi="Times New Roman" w:eastAsia="Times New Roman" w:cs="Times New Roman"/>
      <w:b/>
      <w:bCs/>
      <w:caps/>
      <w:color w:val="000000"/>
      <w:sz w:val="28"/>
      <w:szCs w:val="28"/>
    </w:rPr>
  </w:style>
  <w:style w:type="character" w:customStyle="1" w:styleId="Heading2Char">
    <w:name w:val="Heading 2 Char"/>
    <w:basedOn w:val="DefaultParagraphFont"/>
    <w:link w:val="Heading2"/>
    <w:uiPriority w:val="9"/>
    <w:rsid w:val="00FC693F"/>
    <w:rPr>
      <w:rFonts w:cstheme="majorBidi" w:ascii="Times New Roman" w:hAnsi="Times New Roman" w:eastAsia="Times New Roman" w:cs="Times New Roman"/>
      <w:b/>
      <w:bCs/>
      <w:caps w:val="0"/>
      <w:color w:val="000000"/>
      <w:sz w:val="28"/>
      <w:szCs w:val="26"/>
    </w:rPr>
  </w:style>
  <w:style w:type="character" w:customStyle="1" w:styleId="Heading3Char">
    <w:name w:val="Heading 3 Char"/>
    <w:basedOn w:val="DefaultParagraphFont"/>
    <w:link w:val="Heading3"/>
    <w:uiPriority w:val="9"/>
    <w:rsid w:val="00FC693F"/>
    <w:rPr>
      <w:rFonts w:cstheme="majorBidi" w:ascii="Times New Roman" w:hAnsi="Times New Roman" w:eastAsia="Times New Roman" w:cs="Times New Roman"/>
      <w:b/>
      <w:bCs/>
      <w:caps w:val="0"/>
      <w:color w:val="000000"/>
      <w:sz w:val="28"/>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