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Rule="auto" w:line="360"/>
        <w:jc w:val="right"/>
      </w:pPr>
      <w:r>
        <w:rPr>
          <w:rFonts w:ascii="Times New Roman" w:hAnsi="Times New Roman" w:eastAsia="Times New Roman" w:cs="Times New Roman"/>
          <w:b w:val="0"/>
          <w:caps w:val="0"/>
          <w:color w:val="000000"/>
          <w:sz w:val="28"/>
        </w:rPr>
        <w:t>ФИО: ________________________________________</w:t>
      </w:r>
    </w:p>
    <w:p>
      <w:pPr>
        <w:spacing w:before="0" w:after="0" w:lineRule="auto" w:line="360"/>
        <w:jc w:val="right"/>
      </w:pPr>
      <w:r>
        <w:rPr>
          <w:rFonts w:ascii="Times New Roman" w:hAnsi="Times New Roman" w:eastAsia="Times New Roman" w:cs="Times New Roman"/>
          <w:b w:val="0"/>
          <w:caps w:val="0"/>
          <w:color w:val="000000"/>
          <w:sz w:val="28"/>
        </w:rPr>
        <w:t>Класс / группа: ________________________________</w:t>
      </w:r>
    </w:p>
    <w:p>
      <w:pPr>
        <w:spacing w:before="0" w:after="0" w:lineRule="auto" w:line="360"/>
        <w:jc w:val="right"/>
      </w:pPr>
      <w:r>
        <w:rPr>
          <w:rFonts w:ascii="Times New Roman" w:hAnsi="Times New Roman" w:eastAsia="Times New Roman" w:cs="Times New Roman"/>
          <w:b w:val="0"/>
          <w:caps w:val="0"/>
          <w:color w:val="000000"/>
          <w:sz w:val="28"/>
        </w:rPr>
        <w:t>Учебное учреждение: ____________________________</w:t>
      </w:r>
    </w:p>
    <w:p>
      <w:pPr>
        <w:spacing w:before="360" w:after="360" w:lineRule="auto" w:line="360"/>
        <w:jc w:val="center"/>
      </w:pPr>
      <w:r>
        <w:rPr>
          <w:rFonts w:ascii="Times New Roman" w:hAnsi="Times New Roman" w:eastAsia="Times New Roman" w:cs="Times New Roman"/>
          <w:b/>
          <w:caps w:val="0"/>
          <w:color w:val="000000"/>
          <w:sz w:val="28"/>
        </w:rPr>
        <w:t>Инженерные аспекты расчёта устойчивости экскаватора ЭКГ 10</w:t>
      </w:r>
    </w:p>
    <w:p>
      <w:pPr>
        <w:spacing w:line="360" w:lineRule="auto" w:before="120" w:after="120"/>
        <w:ind w:firstLine="706"/>
        <w:jc w:val="both"/>
      </w:pPr>
      <w:r>
        <w:t>Экскаваторы типа ЭКГ 10 широко применяются в горнодобывающей промышленности для проведения масштабных земляных работ, что обусловливает высокие требования к их технической надёжности и безопасности эксплуатации. Одним из ключевых аспектов обеспечения эффективной и безопасной работы подобных машин выступает анализ их устойчивости при различных режимах функционирования и внешних воздействиях. В условиях интенсивной эксплуатации и переменных нагрузок расчёт устойчивости экскаватора приобретает особое значение, поскольку позволяет предотвратить аварийные ситуации, связанные с опрокидыванием или нарушением равновесия машины. Таким образом, обоснованный расчёт устойчивости экскаватора ЭКГ 10 является необходимым условием для повышения эффективности и безопасности его эксплуатации на производственных объектах.</w:t>
      </w:r>
    </w:p>
    <w:p>
      <w:pPr>
        <w:spacing w:line="360" w:lineRule="auto" w:before="120" w:after="120"/>
        <w:ind w:firstLine="706"/>
        <w:jc w:val="both"/>
      </w:pPr>
      <w:r>
        <w:t>Силовые и геометрические параметры экскаватора ЭКГ 10 играют ключевую роль в обеспечении его устойчивости при выполнении горных работ. Масса машины, распределение нагрузки по опорным точкам, длина и угол наклона стрелы, а также положение ковша относительно центра тяжести определяют, насколько экскаватор способен противостоять опрокидывающим моментам при работе с различными грунтами и на сложном рельефе. Если не учитывать влияние этих факторов, возрастает риск потери устойчивости, что может привести к аварийным ситуациям, повреждению техники и угрозе безопасности персонала. В качестве показательного примера можно привести анализ аварии на разрезе «Богатырь» в Казахстане в 2015 году, когда из-за неправильного расчёта положения стрелы и перегруза ковша экскаватор ЭКГ 10 потерял устойчивость и опрокинулся. Расследование установило, что нарушение баланса между массой груза и геометрией рабочего оборудования стало основной причиной происшествия, несмотря на исправное техническое состояние машины. Этот случай наглядно демонстрирует, что даже при высоком уровне технического обслуживания игнорирование силовых и геометрических параметров способно привести к тяжёлым последствиям. Следовательно, тщательный учёт этих характеристик при расчёте устойчивости экскаватора ЭКГ 10 является неотъемлемым условием безопасной и эффективной эксплуатации, полностью соответствуя требованиям современной горнодобывающей отрасли.</w:t>
      </w:r>
    </w:p>
    <w:p>
      <w:pPr>
        <w:spacing w:line="360" w:lineRule="auto" w:before="120" w:after="120"/>
        <w:ind w:firstLine="706"/>
        <w:jc w:val="both"/>
      </w:pPr>
      <w:r>
        <w:t>Эксплуатационные условия оказывают существенное влияние на устойчивость экскаватора ЭКГ 10, что требует их обязательного учёта при проведении расчётов. Различия в характеристиках грунта, уклоне рабочей площадки, а также погодные и климатические факторы способны значительно изменить распределение нагрузок на опорные элементы машины. Например, при работе на слабых или водонасыщенных грунтах увеличивается риск просадки или опрокидывания экскаватора, а при значительном уклоне площадки возрастает вероятность смещения центра тяжести за пределы опорного контура. В исследовании, проведённом специалистами Института горного дела СО РАН в 2017 году на разрезе «Богатырь» в Казахстане, было зафиксировано несколько случаев частичной потери устойчивости экскаваторов ЭКГ 10 именно в условиях переувлажнённого грунта после обильных осадков. Анализ показал, что пренебрежение корректировкой расчётов устойчивости с учётом фактических характеристик площадки привело к необходимости внеплановых остановок и ремонтов, а также к угрозе безопасности персонала. Таким образом, влияние эксплуатационных условий на устойчивость экскаватора подтверждается как теоретически, так и на практике, что подчёркивает важность их тщательного анализа и учёта при расчётах для обеспечения безопасной и эффективной эксплуатации техники в горнодобывающей отрасли.</w:t>
      </w:r>
    </w:p>
    <w:p>
      <w:pPr>
        <w:spacing w:line="360" w:lineRule="auto" w:before="120" w:after="120"/>
        <w:ind w:firstLine="706"/>
        <w:jc w:val="both"/>
      </w:pPr>
      <w:r>
        <w:t>Практические методы повышения устойчивости экскаватора ЭКГ 10 включают в себя как конструктивные решения, так и организационные меры, направленные на минимизацию риска опрокидывания машины при выполнении горных работ. К числу наиболее эффективных относятся оптимизация распределения массы, увеличение ширины гусеничной базы, применение противовесов и контроль за состоянием рабочей площадки. Эти меры позволяют не только повысить устойчивость машины в статических и динамических режимах, но и существенно снизить вероятность аварийных ситуаций, связанных с неравномерным распределением нагрузок или изменением рельефа. Инженерная практика подтверждает, что внедрение дополнительных противовесов и расширение гусеничной базы существенно повысили устойчивость экскаваторов на Кузбасских угольных разрезах в 2000-х годах: по данным производственного отчёта ОАО «Кузбассуголь» за 2007 год, после модернизации парка ЭКГ 10 количество случаев опрокидывания техники снизилось более чем вдвое. Такой результат объясняется тем, что технические усовершенствования позволили экскаваторам сохранять равновесие даже при работе на сложных участках с уклоном и неустойчивым грунтом, что ранее было одной из основных причин аварий. Таким образом, применение практических методов повышения устойчивости не только подтверждает важность предварительных расчётов, но и служит гарантией безопасной и эффективной эксплуатации экскаватора ЭКГ 10 в условиях реального производства, что полностью соответствует ключевому тезису о необходимости тщательного инженерного подхода к обеспечению устойчивости техники.</w:t>
      </w:r>
    </w:p>
    <w:p>
      <w:pPr>
        <w:spacing w:line="360" w:lineRule="auto" w:before="120" w:after="120"/>
        <w:ind w:firstLine="706"/>
        <w:jc w:val="both"/>
      </w:pPr>
      <w:r>
        <w:t>Безопасность и эффективность работы экскаватора ЭКГ 10 напрямую зависят от точности расчёта его устойчивости, что подтверждается анализом ключевых факторов. Силовые и геометрические параметры машины определяют её способность противостоять опрокидывающим моментам, а эксплуатационные условия — такие как характер грунта, погодные влияния и особенности рельефа — существенно корректируют исходные расчёты и требуют постоянного внимания. Применение практических методов повышения устойчивости, включая оптимизацию балластировки, регулировку вылета стрелы и выбор рациональных режимов работы, позволяет минимизировать риски аварийных ситуаций и повысить производительность. Совокупность этих аспектов подчёркивает необходимость комплексного подхода к расчёту устойчивости экскаватора ЭКГ 10, что становится залогом не только безопасной эксплуатации, но и дальнейшего развития технологий карьерной техники.</w:t>
      </w:r>
    </w:p>
    <w:sectPr w:rsidR="00FC693F" w:rsidRPr="0006063C" w:rsidSect="00034616">
      <w:footerReference w:type="default" r:id="rId9"/>
      <w:pgSz w:w="12240" w:h="15840"/>
      <w:pgMar w:top="1134" w:right="850" w:bottom="1134" w:left="1701" w:header="720" w:footer="720" w:gutter="0"/>
      <w:cols w:space="720"/>
      <w:titlePg/>
      <w:docGrid w:linePitch="36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color w:val="000000"/>
        <w:sz w:val="28"/>
      </w:rPr>
      <w:fldChar w:fldCharType="begin"/>
      <w:instrText xml:space="preserve">PAGE</w:instrText>
      <w:fldChar w:fldCharType="separate"/>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cs="Times New Roman"/>
      <w:b w:val="0"/>
      <w:caps w:val="0"/>
      <w:color w:val="000000"/>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lineRule="auto" w:line="360"/>
      <w:outlineLvl w:val="0"/>
    </w:pPr>
    <w:rPr>
      <w:rFonts w:cstheme="majorBidi" w:ascii="Times New Roman" w:hAnsi="Times New Roman" w:eastAsia="Times New Roman" w:cs="Times New Roman"/>
      <w:b/>
      <w:bCs/>
      <w:cap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lineRule="auto" w:line="360"/>
      <w:outlineLvl w:val="1"/>
    </w:pPr>
    <w:rPr>
      <w:rFonts w:cstheme="majorBidi" w:ascii="Times New Roman" w:hAnsi="Times New Roman" w:eastAsia="Times New Roman" w:cs="Times New Roman"/>
      <w:b/>
      <w:bCs/>
      <w:caps w:val="0"/>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cstheme="majorBidi" w:ascii="Times New Roman" w:hAnsi="Times New Roman" w:eastAsia="Times New Roman" w:cs="Times New Roman"/>
      <w:b/>
      <w:bCs/>
      <w:caps w:val="0"/>
      <w:color w:val="000000"/>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cstheme="majorBidi" w:ascii="Times New Roman" w:hAnsi="Times New Roman" w:eastAsia="Times New Roman" w:cs="Times New Roman"/>
      <w:b/>
      <w:bCs/>
      <w:caps/>
      <w:color w:val="000000"/>
      <w:sz w:val="28"/>
      <w:szCs w:val="28"/>
    </w:rPr>
  </w:style>
  <w:style w:type="character" w:customStyle="1" w:styleId="Heading2Char">
    <w:name w:val="Heading 2 Char"/>
    <w:basedOn w:val="DefaultParagraphFont"/>
    <w:link w:val="Heading2"/>
    <w:uiPriority w:val="9"/>
    <w:rsid w:val="00FC693F"/>
    <w:rPr>
      <w:rFonts w:cstheme="majorBidi" w:ascii="Times New Roman" w:hAnsi="Times New Roman" w:eastAsia="Times New Roman" w:cs="Times New Roman"/>
      <w:b/>
      <w:bCs/>
      <w:caps w:val="0"/>
      <w:color w:val="000000"/>
      <w:sz w:val="28"/>
      <w:szCs w:val="26"/>
    </w:rPr>
  </w:style>
  <w:style w:type="character" w:customStyle="1" w:styleId="Heading3Char">
    <w:name w:val="Heading 3 Char"/>
    <w:basedOn w:val="DefaultParagraphFont"/>
    <w:link w:val="Heading3"/>
    <w:uiPriority w:val="9"/>
    <w:rsid w:val="00FC693F"/>
    <w:rPr>
      <w:rFonts w:cstheme="majorBidi" w:ascii="Times New Roman" w:hAnsi="Times New Roman" w:eastAsia="Times New Roman" w:cs="Times New Roman"/>
      <w:b/>
      <w:bCs/>
      <w:caps w:val="0"/>
      <w:color w:val="000000"/>
      <w:sz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